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A13D2" w14:textId="77777777" w:rsidR="00DD0477" w:rsidRDefault="00DD0477" w:rsidP="009326B8">
      <w:pPr>
        <w:spacing w:after="240" w:line="240" w:lineRule="atLeast"/>
        <w:rPr>
          <w:rFonts w:ascii="Georgia" w:hAnsi="Georgia" w:cstheme="minorHAnsi"/>
          <w:b/>
          <w:i/>
          <w:sz w:val="20"/>
          <w:szCs w:val="20"/>
          <w:lang w:val="en-GB"/>
        </w:rPr>
      </w:pPr>
      <w:r>
        <w:rPr>
          <w:rFonts w:ascii="Georgia" w:hAnsi="Georgia" w:cstheme="minorHAnsi"/>
          <w:b/>
          <w:i/>
          <w:noProof/>
          <w:sz w:val="20"/>
          <w:szCs w:val="20"/>
        </w:rPr>
        <w:drawing>
          <wp:inline distT="0" distB="0" distL="0" distR="0" wp14:anchorId="5EB4C1DE" wp14:editId="577E56C3">
            <wp:extent cx="1228897" cy="4763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EX.png"/>
                    <pic:cNvPicPr/>
                  </pic:nvPicPr>
                  <pic:blipFill>
                    <a:blip r:embed="rId8">
                      <a:extLst>
                        <a:ext uri="{28A0092B-C50C-407E-A947-70E740481C1C}">
                          <a14:useLocalDpi xmlns:a14="http://schemas.microsoft.com/office/drawing/2010/main" val="0"/>
                        </a:ext>
                      </a:extLst>
                    </a:blip>
                    <a:stretch>
                      <a:fillRect/>
                    </a:stretch>
                  </pic:blipFill>
                  <pic:spPr>
                    <a:xfrm>
                      <a:off x="0" y="0"/>
                      <a:ext cx="1228897" cy="476317"/>
                    </a:xfrm>
                    <a:prstGeom prst="rect">
                      <a:avLst/>
                    </a:prstGeom>
                  </pic:spPr>
                </pic:pic>
              </a:graphicData>
            </a:graphic>
          </wp:inline>
        </w:drawing>
      </w:r>
    </w:p>
    <w:p w14:paraId="699739A6" w14:textId="77777777" w:rsidR="005C68D4" w:rsidRDefault="005C68D4" w:rsidP="009326B8">
      <w:pPr>
        <w:spacing w:after="240" w:line="240" w:lineRule="atLeast"/>
        <w:rPr>
          <w:rFonts w:ascii="Georgia" w:hAnsi="Georgia" w:cstheme="minorHAnsi"/>
          <w:b/>
          <w:i/>
          <w:sz w:val="20"/>
          <w:szCs w:val="20"/>
          <w:lang w:val="en-GB"/>
        </w:rPr>
      </w:pPr>
      <w:r>
        <w:rPr>
          <w:rFonts w:ascii="Georgia" w:hAnsi="Georgia" w:cstheme="minorHAnsi"/>
          <w:b/>
          <w:i/>
          <w:sz w:val="20"/>
          <w:szCs w:val="20"/>
          <w:lang w:val="en-GB"/>
        </w:rPr>
        <w:t>Conflict Minerals Policy</w:t>
      </w:r>
    </w:p>
    <w:p w14:paraId="698B97C1" w14:textId="4B2422A3" w:rsidR="00EE1843" w:rsidRDefault="001D3F91" w:rsidP="009326B8">
      <w:pPr>
        <w:spacing w:after="240" w:line="240" w:lineRule="atLeast"/>
        <w:rPr>
          <w:rFonts w:ascii="Georgia" w:hAnsi="Georgia" w:cstheme="minorHAnsi"/>
          <w:b/>
          <w:i/>
          <w:sz w:val="20"/>
          <w:szCs w:val="20"/>
          <w:lang w:val="en-GB"/>
        </w:rPr>
      </w:pPr>
      <w:r>
        <w:rPr>
          <w:rFonts w:ascii="Georgia" w:hAnsi="Georgia" w:cstheme="minorHAnsi"/>
          <w:b/>
          <w:i/>
          <w:sz w:val="20"/>
          <w:szCs w:val="20"/>
          <w:lang w:val="en-GB"/>
        </w:rPr>
        <w:t>January</w:t>
      </w:r>
      <w:r>
        <w:rPr>
          <w:rFonts w:ascii="Georgia" w:hAnsi="Georgia" w:cstheme="minorHAnsi"/>
          <w:b/>
          <w:i/>
          <w:sz w:val="20"/>
          <w:szCs w:val="20"/>
          <w:lang w:val="en-GB"/>
        </w:rPr>
        <w:t xml:space="preserve"> </w:t>
      </w:r>
      <w:r>
        <w:rPr>
          <w:rFonts w:ascii="Georgia" w:hAnsi="Georgia" w:cstheme="minorHAnsi"/>
          <w:b/>
          <w:i/>
          <w:sz w:val="20"/>
          <w:szCs w:val="20"/>
          <w:lang w:val="en-GB"/>
        </w:rPr>
        <w:t>4</w:t>
      </w:r>
      <w:r w:rsidR="00EE1843">
        <w:rPr>
          <w:rFonts w:ascii="Georgia" w:hAnsi="Georgia" w:cstheme="minorHAnsi"/>
          <w:b/>
          <w:i/>
          <w:sz w:val="20"/>
          <w:szCs w:val="20"/>
          <w:lang w:val="en-GB"/>
        </w:rPr>
        <w:t>, 20</w:t>
      </w:r>
      <w:r>
        <w:rPr>
          <w:rFonts w:ascii="Georgia" w:hAnsi="Georgia" w:cstheme="minorHAnsi"/>
          <w:b/>
          <w:i/>
          <w:sz w:val="20"/>
          <w:szCs w:val="20"/>
          <w:lang w:val="en-GB"/>
        </w:rPr>
        <w:t>19</w:t>
      </w:r>
    </w:p>
    <w:p w14:paraId="2B49AA05" w14:textId="77777777" w:rsidR="009326B8" w:rsidRPr="009326B8" w:rsidRDefault="009326B8" w:rsidP="009326B8">
      <w:pPr>
        <w:spacing w:after="240" w:line="240" w:lineRule="atLeast"/>
        <w:rPr>
          <w:rFonts w:ascii="Georgia" w:hAnsi="Georgia" w:cstheme="minorHAnsi"/>
          <w:b/>
          <w:i/>
          <w:sz w:val="20"/>
          <w:szCs w:val="20"/>
          <w:lang w:val="en-GB"/>
        </w:rPr>
      </w:pPr>
      <w:r w:rsidRPr="009326B8">
        <w:rPr>
          <w:rFonts w:ascii="Georgia" w:hAnsi="Georgia" w:cstheme="minorHAnsi"/>
          <w:b/>
          <w:i/>
          <w:sz w:val="20"/>
          <w:szCs w:val="20"/>
          <w:lang w:val="en-GB"/>
        </w:rPr>
        <w:t>Background</w:t>
      </w:r>
    </w:p>
    <w:p w14:paraId="440C52AA" w14:textId="44519E82" w:rsidR="009326B8" w:rsidRPr="009326B8" w:rsidRDefault="009326B8" w:rsidP="009326B8">
      <w:pPr>
        <w:spacing w:after="0" w:line="240" w:lineRule="auto"/>
        <w:jc w:val="both"/>
        <w:rPr>
          <w:rFonts w:ascii="Times New Roman" w:eastAsia="MS PGothic" w:hAnsi="Times New Roman" w:cs="Times New Roman"/>
          <w:sz w:val="20"/>
          <w:szCs w:val="20"/>
          <w:lang w:eastAsia="ja-JP"/>
        </w:rPr>
      </w:pPr>
      <w:r w:rsidRPr="009326B8">
        <w:rPr>
          <w:rFonts w:ascii="Times New Roman" w:eastAsia="MS PGothic" w:hAnsi="Times New Roman" w:cs="Times New Roman"/>
          <w:sz w:val="20"/>
          <w:szCs w:val="20"/>
          <w:lang w:eastAsia="ja-JP"/>
        </w:rPr>
        <w:t xml:space="preserve">As a public company, </w:t>
      </w:r>
      <w:r>
        <w:rPr>
          <w:rFonts w:ascii="Times New Roman" w:eastAsia="MS PGothic" w:hAnsi="Times New Roman" w:cs="Times New Roman"/>
          <w:sz w:val="20"/>
          <w:szCs w:val="20"/>
          <w:lang w:eastAsia="ja-JP"/>
        </w:rPr>
        <w:t>IDEX</w:t>
      </w:r>
      <w:r w:rsidRPr="009326B8">
        <w:rPr>
          <w:rFonts w:ascii="Times New Roman" w:eastAsia="MS PGothic" w:hAnsi="Times New Roman" w:cs="Times New Roman"/>
          <w:sz w:val="20"/>
          <w:szCs w:val="20"/>
          <w:lang w:eastAsia="ja-JP"/>
        </w:rPr>
        <w:t xml:space="preserve"> CORP</w:t>
      </w:r>
      <w:r w:rsidR="00D4549B">
        <w:rPr>
          <w:rFonts w:ascii="Times New Roman" w:eastAsia="MS PGothic" w:hAnsi="Times New Roman" w:cs="Times New Roman"/>
          <w:sz w:val="20"/>
          <w:szCs w:val="20"/>
          <w:lang w:eastAsia="ja-JP"/>
        </w:rPr>
        <w:t>ORATION</w:t>
      </w:r>
      <w:r w:rsidRPr="009326B8">
        <w:rPr>
          <w:rFonts w:ascii="Times New Roman" w:eastAsia="MS PGothic" w:hAnsi="Times New Roman" w:cs="Times New Roman"/>
          <w:sz w:val="20"/>
          <w:szCs w:val="20"/>
          <w:lang w:eastAsia="ja-JP"/>
        </w:rPr>
        <w:t>. (“</w:t>
      </w:r>
      <w:r>
        <w:rPr>
          <w:rFonts w:ascii="Times New Roman" w:eastAsia="MS PGothic" w:hAnsi="Times New Roman" w:cs="Times New Roman"/>
          <w:sz w:val="20"/>
          <w:szCs w:val="20"/>
          <w:lang w:eastAsia="ja-JP"/>
        </w:rPr>
        <w:t>IDEX</w:t>
      </w:r>
      <w:r w:rsidRPr="009326B8">
        <w:rPr>
          <w:rFonts w:ascii="Times New Roman" w:eastAsia="MS PGothic" w:hAnsi="Times New Roman" w:cs="Times New Roman"/>
          <w:sz w:val="20"/>
          <w:szCs w:val="20"/>
          <w:lang w:eastAsia="ja-JP"/>
        </w:rPr>
        <w:t>”) is subject to rules issued by the U.S. Securities and Exchange Commission (“SEC”) implementing the conflict minerals disclosure provisions of the Dodd-Frank Wall Street Reform and Consumer Protection Act.  These rules require publicly traded companies in the U.S. to report annually on the extent to which products manufactured by or for the companies and their subsidiaries contain “Conflict Minerals” that are (i) necessary to the functionality or productions of those products, and (ii) derived from sources that are believed to, directly or indirectly, finance armed conflict or benefit armed groups within The Democratic Republic of the Congo (“DRC”) or certain adjoining countries.</w:t>
      </w:r>
      <w:r w:rsidRPr="009326B8">
        <w:rPr>
          <w:rFonts w:ascii="Times New Roman" w:eastAsia="MS PGothic" w:hAnsi="Times New Roman" w:cs="Times New Roman"/>
          <w:sz w:val="20"/>
          <w:szCs w:val="20"/>
          <w:vertAlign w:val="superscript"/>
          <w:lang w:eastAsia="ja-JP"/>
        </w:rPr>
        <w:footnoteReference w:id="1"/>
      </w:r>
      <w:r w:rsidRPr="009326B8">
        <w:rPr>
          <w:rFonts w:ascii="Times New Roman" w:eastAsia="MS PGothic" w:hAnsi="Times New Roman" w:cs="Times New Roman"/>
          <w:sz w:val="20"/>
          <w:szCs w:val="20"/>
          <w:lang w:eastAsia="ja-JP"/>
        </w:rPr>
        <w:t xml:space="preserve">  </w:t>
      </w:r>
    </w:p>
    <w:p w14:paraId="27CC1D39" w14:textId="77777777" w:rsidR="009326B8" w:rsidRPr="009326B8" w:rsidRDefault="009326B8" w:rsidP="009326B8">
      <w:pPr>
        <w:spacing w:after="0" w:line="240" w:lineRule="auto"/>
        <w:rPr>
          <w:rFonts w:ascii="Times New Roman" w:eastAsia="MS PGothic" w:hAnsi="Times New Roman" w:cs="Times New Roman"/>
          <w:sz w:val="20"/>
          <w:szCs w:val="20"/>
          <w:lang w:eastAsia="ja-JP"/>
        </w:rPr>
      </w:pPr>
    </w:p>
    <w:p w14:paraId="5C89E8E6" w14:textId="77777777" w:rsidR="009326B8" w:rsidRPr="009326B8" w:rsidRDefault="009326B8" w:rsidP="009326B8">
      <w:pPr>
        <w:spacing w:after="0" w:line="240" w:lineRule="auto"/>
        <w:jc w:val="both"/>
        <w:rPr>
          <w:rFonts w:ascii="Times New Roman" w:eastAsia="MS PGothic" w:hAnsi="Times New Roman" w:cs="Times New Roman"/>
          <w:sz w:val="20"/>
          <w:szCs w:val="20"/>
          <w:lang w:eastAsia="ja-JP"/>
        </w:rPr>
      </w:pPr>
      <w:r w:rsidRPr="009326B8">
        <w:rPr>
          <w:rFonts w:ascii="Times New Roman" w:eastAsia="MS PGothic" w:hAnsi="Times New Roman" w:cs="Times New Roman"/>
          <w:sz w:val="20"/>
          <w:szCs w:val="20"/>
          <w:lang w:eastAsia="ja-JP"/>
        </w:rPr>
        <w:t>The “Conflict Minerals” of concern are cassiterite (used to produce tin), wolframite (used to produce tungsten), columbite-tantalite (used to produce tantalum), and gold.  These Conflict Minerals are also commonly referred to as “3TGs.”</w:t>
      </w:r>
    </w:p>
    <w:p w14:paraId="31B8AD8D" w14:textId="77777777" w:rsidR="009326B8" w:rsidRPr="009326B8" w:rsidRDefault="009326B8" w:rsidP="009326B8">
      <w:pPr>
        <w:spacing w:after="0" w:line="240" w:lineRule="auto"/>
        <w:jc w:val="both"/>
        <w:rPr>
          <w:rFonts w:ascii="Times New Roman" w:eastAsia="MS PGothic" w:hAnsi="Times New Roman" w:cs="Times New Roman"/>
          <w:sz w:val="20"/>
          <w:szCs w:val="20"/>
          <w:lang w:eastAsia="ja-JP"/>
        </w:rPr>
      </w:pPr>
    </w:p>
    <w:p w14:paraId="14E6C694" w14:textId="77777777" w:rsidR="009326B8" w:rsidRPr="009326B8" w:rsidRDefault="009326B8" w:rsidP="009326B8">
      <w:pPr>
        <w:spacing w:after="240" w:line="240" w:lineRule="atLeast"/>
        <w:rPr>
          <w:rFonts w:ascii="Georgia" w:hAnsi="Georgia" w:cstheme="minorHAnsi"/>
          <w:b/>
          <w:i/>
          <w:sz w:val="20"/>
          <w:szCs w:val="20"/>
          <w:lang w:val="en-GB"/>
        </w:rPr>
      </w:pPr>
      <w:r w:rsidRPr="009326B8">
        <w:rPr>
          <w:rFonts w:ascii="Georgia" w:hAnsi="Georgia" w:cstheme="minorHAnsi"/>
          <w:b/>
          <w:i/>
          <w:sz w:val="20"/>
          <w:szCs w:val="20"/>
          <w:lang w:val="en-GB"/>
        </w:rPr>
        <w:t>Commitment</w:t>
      </w:r>
    </w:p>
    <w:p w14:paraId="745CD2C3" w14:textId="1D9ACC2C" w:rsidR="009326B8" w:rsidRPr="009326B8" w:rsidRDefault="009326B8" w:rsidP="009326B8">
      <w:pPr>
        <w:spacing w:after="0" w:line="240" w:lineRule="auto"/>
        <w:jc w:val="both"/>
        <w:rPr>
          <w:rFonts w:ascii="Times New Roman" w:eastAsia="MS PGothic" w:hAnsi="Times New Roman" w:cs="Times New Roman"/>
          <w:sz w:val="20"/>
          <w:szCs w:val="20"/>
          <w:lang w:eastAsia="ja-JP"/>
        </w:rPr>
      </w:pPr>
      <w:r>
        <w:rPr>
          <w:rFonts w:ascii="Times New Roman" w:eastAsia="MS PGothic" w:hAnsi="Times New Roman" w:cs="Times New Roman"/>
          <w:sz w:val="20"/>
          <w:szCs w:val="20"/>
          <w:lang w:eastAsia="ja-JP"/>
        </w:rPr>
        <w:t>IDEX</w:t>
      </w:r>
      <w:r w:rsidRPr="009326B8">
        <w:rPr>
          <w:rFonts w:ascii="Times New Roman" w:eastAsia="MS PGothic" w:hAnsi="Times New Roman" w:cs="Times New Roman"/>
          <w:sz w:val="20"/>
          <w:szCs w:val="20"/>
          <w:lang w:eastAsia="ja-JP"/>
        </w:rPr>
        <w:t xml:space="preserve"> is committed to complying fully with the SEC’s Conflict Minerals reporting requirements. To that end, </w:t>
      </w:r>
      <w:r>
        <w:rPr>
          <w:rFonts w:ascii="Times New Roman" w:eastAsia="MS PGothic" w:hAnsi="Times New Roman" w:cs="Times New Roman"/>
          <w:sz w:val="20"/>
          <w:szCs w:val="20"/>
          <w:lang w:eastAsia="ja-JP"/>
        </w:rPr>
        <w:t>IDEX</w:t>
      </w:r>
      <w:r w:rsidRPr="009326B8">
        <w:rPr>
          <w:rFonts w:ascii="Times New Roman" w:eastAsia="MS PGothic" w:hAnsi="Times New Roman" w:cs="Times New Roman"/>
          <w:sz w:val="20"/>
          <w:szCs w:val="20"/>
          <w:lang w:eastAsia="ja-JP"/>
        </w:rPr>
        <w:t xml:space="preserve"> and its manufacturing subsidiaries are working with applicable suppliers to perform the necessary due diligence in determining the potential for Conflict Minerals in their supply chain and products. </w:t>
      </w:r>
      <w:r>
        <w:rPr>
          <w:rFonts w:ascii="Times New Roman" w:eastAsia="MS PGothic" w:hAnsi="Times New Roman" w:cs="Times New Roman"/>
          <w:sz w:val="20"/>
          <w:szCs w:val="20"/>
          <w:lang w:eastAsia="ja-JP"/>
        </w:rPr>
        <w:t>IDEX</w:t>
      </w:r>
      <w:r w:rsidRPr="009326B8">
        <w:rPr>
          <w:rFonts w:ascii="Times New Roman" w:eastAsia="MS PGothic" w:hAnsi="Times New Roman" w:cs="Times New Roman"/>
          <w:sz w:val="20"/>
          <w:szCs w:val="20"/>
          <w:lang w:eastAsia="ja-JP"/>
        </w:rPr>
        <w:t xml:space="preserve"> and its manufacturing subsidiaries are designing their due diligence program in accordance with the Organization for Economic Cooperation and Development Due Diligence Guidance for Responsible Supply Chains of Minerals from Conflict-Affected an</w:t>
      </w:r>
      <w:r w:rsidR="00D4549B">
        <w:rPr>
          <w:rFonts w:ascii="Times New Roman" w:eastAsia="MS PGothic" w:hAnsi="Times New Roman" w:cs="Times New Roman"/>
          <w:sz w:val="20"/>
          <w:szCs w:val="20"/>
          <w:lang w:eastAsia="ja-JP"/>
        </w:rPr>
        <w:t>d High-Risk Areas</w:t>
      </w:r>
      <w:r w:rsidR="004E4E88">
        <w:rPr>
          <w:rFonts w:ascii="Times New Roman" w:eastAsia="MS PGothic" w:hAnsi="Times New Roman" w:cs="Times New Roman"/>
          <w:sz w:val="20"/>
          <w:szCs w:val="20"/>
          <w:lang w:eastAsia="ja-JP"/>
        </w:rPr>
        <w:t xml:space="preserve"> (“OECD Due Diligence Guidance”)</w:t>
      </w:r>
      <w:r w:rsidRPr="009326B8">
        <w:rPr>
          <w:rFonts w:ascii="Times New Roman" w:eastAsia="MS PGothic" w:hAnsi="Times New Roman" w:cs="Times New Roman"/>
          <w:sz w:val="20"/>
          <w:szCs w:val="20"/>
          <w:lang w:eastAsia="ja-JP"/>
        </w:rPr>
        <w:t xml:space="preserve">. </w:t>
      </w:r>
      <w:r w:rsidR="002D60B8" w:rsidRPr="002D60B8">
        <w:rPr>
          <w:rFonts w:ascii="Times New Roman" w:eastAsia="MS PGothic" w:hAnsi="Times New Roman" w:cs="Times New Roman"/>
          <w:sz w:val="20"/>
          <w:szCs w:val="20"/>
          <w:lang w:eastAsia="ja-JP" w:bidi="en-US"/>
        </w:rPr>
        <w:t>IDEX does not discourage suppliers from sourcing Conflict Minerals from the Covered Countries. Rather, we are encouraging our suppliers to source these minerals from smelters and refiners verified as compliant with the Responsible Minerals Assurance Program (RMAP), or a similar program whether or not in a Covered Country.  We continue to support responsible in-region mineral sourcing from the DRC and adjoining countries.</w:t>
      </w:r>
    </w:p>
    <w:p w14:paraId="280E691E" w14:textId="77777777" w:rsidR="009326B8" w:rsidRPr="009326B8" w:rsidRDefault="009326B8" w:rsidP="009326B8">
      <w:pPr>
        <w:spacing w:after="0" w:line="240" w:lineRule="auto"/>
        <w:rPr>
          <w:rFonts w:ascii="Times New Roman" w:eastAsia="MS PGothic" w:hAnsi="Times New Roman" w:cs="Times New Roman"/>
          <w:sz w:val="20"/>
          <w:szCs w:val="20"/>
          <w:lang w:eastAsia="ja-JP"/>
        </w:rPr>
      </w:pPr>
    </w:p>
    <w:p w14:paraId="4BE37B7D" w14:textId="77777777" w:rsidR="009326B8" w:rsidRPr="009326B8" w:rsidRDefault="009326B8" w:rsidP="009326B8">
      <w:pPr>
        <w:spacing w:after="0" w:line="240" w:lineRule="auto"/>
        <w:rPr>
          <w:rFonts w:ascii="Times New Roman" w:eastAsia="MS PGothic" w:hAnsi="Times New Roman" w:cs="Times New Roman"/>
          <w:b/>
          <w:i/>
          <w:sz w:val="20"/>
          <w:szCs w:val="20"/>
          <w:lang w:eastAsia="ja-JP"/>
        </w:rPr>
      </w:pPr>
      <w:r w:rsidRPr="009326B8">
        <w:rPr>
          <w:rFonts w:ascii="Times New Roman" w:eastAsia="MS PGothic" w:hAnsi="Times New Roman" w:cs="Times New Roman"/>
          <w:b/>
          <w:i/>
          <w:sz w:val="20"/>
          <w:szCs w:val="20"/>
          <w:lang w:eastAsia="ja-JP"/>
        </w:rPr>
        <w:t>Expectations of Suppliers</w:t>
      </w:r>
    </w:p>
    <w:p w14:paraId="71055136" w14:textId="77777777" w:rsidR="009326B8" w:rsidRPr="009326B8" w:rsidRDefault="009326B8" w:rsidP="009326B8">
      <w:pPr>
        <w:spacing w:after="0" w:line="240" w:lineRule="auto"/>
        <w:rPr>
          <w:rFonts w:ascii="Times New Roman" w:eastAsia="MS PGothic" w:hAnsi="Times New Roman" w:cs="Times New Roman"/>
          <w:b/>
          <w:i/>
          <w:sz w:val="20"/>
          <w:szCs w:val="20"/>
          <w:lang w:eastAsia="ja-JP"/>
        </w:rPr>
      </w:pPr>
    </w:p>
    <w:p w14:paraId="7409668C" w14:textId="7EC17DF6" w:rsidR="009326B8" w:rsidRPr="009326B8" w:rsidRDefault="009326B8" w:rsidP="009326B8">
      <w:pPr>
        <w:spacing w:after="240" w:line="240" w:lineRule="atLeast"/>
        <w:jc w:val="both"/>
        <w:rPr>
          <w:rFonts w:ascii="Times New Roman" w:hAnsi="Times New Roman" w:cs="Times New Roman"/>
          <w:sz w:val="20"/>
          <w:szCs w:val="20"/>
          <w:lang w:val="en-GB"/>
        </w:rPr>
      </w:pPr>
      <w:r>
        <w:rPr>
          <w:rFonts w:ascii="Times New Roman" w:hAnsi="Times New Roman" w:cs="Times New Roman"/>
          <w:sz w:val="20"/>
          <w:szCs w:val="20"/>
          <w:lang w:val="en-GB"/>
        </w:rPr>
        <w:t>IDEX</w:t>
      </w:r>
      <w:r w:rsidRPr="009326B8">
        <w:rPr>
          <w:rFonts w:ascii="Times New Roman" w:hAnsi="Times New Roman" w:cs="Times New Roman"/>
          <w:sz w:val="20"/>
          <w:szCs w:val="20"/>
          <w:lang w:val="en-GB"/>
        </w:rPr>
        <w:t xml:space="preserve"> expects that applicable suppliers will cooperate with its due diligence efforts in support of its Conflict Minerals commitment and otherwise assist </w:t>
      </w:r>
      <w:r>
        <w:rPr>
          <w:rFonts w:ascii="Times New Roman" w:hAnsi="Times New Roman" w:cs="Times New Roman"/>
          <w:sz w:val="20"/>
          <w:szCs w:val="20"/>
          <w:lang w:val="en-GB"/>
        </w:rPr>
        <w:t>IDEX</w:t>
      </w:r>
      <w:r w:rsidRPr="009326B8">
        <w:rPr>
          <w:rFonts w:ascii="Times New Roman" w:hAnsi="Times New Roman" w:cs="Times New Roman"/>
          <w:sz w:val="20"/>
          <w:szCs w:val="20"/>
          <w:lang w:val="en-GB"/>
        </w:rPr>
        <w:t xml:space="preserve"> in complying with the Conflict Minerals rules established by the SEC.  If a supplier to one of </w:t>
      </w:r>
      <w:r>
        <w:rPr>
          <w:rFonts w:ascii="Times New Roman" w:hAnsi="Times New Roman" w:cs="Times New Roman"/>
          <w:sz w:val="20"/>
          <w:szCs w:val="20"/>
          <w:lang w:val="en-GB"/>
        </w:rPr>
        <w:t>IDEX</w:t>
      </w:r>
      <w:r w:rsidRPr="009326B8">
        <w:rPr>
          <w:rFonts w:ascii="Times New Roman" w:hAnsi="Times New Roman" w:cs="Times New Roman"/>
          <w:sz w:val="20"/>
          <w:szCs w:val="20"/>
          <w:lang w:val="en-GB"/>
        </w:rPr>
        <w:t xml:space="preserve">’s manufacturing subsidiaries is unwilling to support </w:t>
      </w:r>
      <w:r>
        <w:rPr>
          <w:rFonts w:ascii="Times New Roman" w:hAnsi="Times New Roman" w:cs="Times New Roman"/>
          <w:sz w:val="20"/>
          <w:szCs w:val="20"/>
          <w:lang w:val="en-GB"/>
        </w:rPr>
        <w:t>IDEX</w:t>
      </w:r>
      <w:r w:rsidRPr="009326B8">
        <w:rPr>
          <w:rFonts w:ascii="Times New Roman" w:hAnsi="Times New Roman" w:cs="Times New Roman"/>
          <w:sz w:val="20"/>
          <w:szCs w:val="20"/>
          <w:lang w:val="en-GB"/>
        </w:rPr>
        <w:t xml:space="preserve"> in its Conflict Mineral program efforts, </w:t>
      </w:r>
      <w:r>
        <w:rPr>
          <w:rFonts w:ascii="Times New Roman" w:hAnsi="Times New Roman" w:cs="Times New Roman"/>
          <w:sz w:val="20"/>
          <w:szCs w:val="20"/>
          <w:lang w:val="en-GB"/>
        </w:rPr>
        <w:t>IDEX</w:t>
      </w:r>
      <w:r w:rsidRPr="009326B8">
        <w:rPr>
          <w:rFonts w:ascii="Times New Roman" w:hAnsi="Times New Roman" w:cs="Times New Roman"/>
          <w:sz w:val="20"/>
          <w:szCs w:val="20"/>
          <w:lang w:val="en-GB"/>
        </w:rPr>
        <w:t xml:space="preserve"> and its subsidiaries may take remediation steps, up to and including alternative sourcing arrangements.  </w:t>
      </w:r>
      <w:r>
        <w:rPr>
          <w:rFonts w:ascii="Times New Roman" w:hAnsi="Times New Roman" w:cs="Times New Roman"/>
          <w:sz w:val="20"/>
          <w:szCs w:val="20"/>
          <w:lang w:val="en-GB"/>
        </w:rPr>
        <w:t>IDEX</w:t>
      </w:r>
      <w:r w:rsidRPr="009326B8">
        <w:rPr>
          <w:rFonts w:ascii="Times New Roman" w:hAnsi="Times New Roman" w:cs="Times New Roman"/>
          <w:sz w:val="20"/>
          <w:szCs w:val="20"/>
          <w:lang w:val="en-GB"/>
        </w:rPr>
        <w:t xml:space="preserve"> and its subsidiaries also may take remediation steps if a supplier cannot determine whether its materials or products</w:t>
      </w:r>
      <w:bookmarkStart w:id="0" w:name="_GoBack"/>
      <w:bookmarkEnd w:id="0"/>
      <w:r w:rsidRPr="009326B8">
        <w:rPr>
          <w:rFonts w:ascii="Times New Roman" w:hAnsi="Times New Roman" w:cs="Times New Roman"/>
          <w:sz w:val="20"/>
          <w:szCs w:val="20"/>
          <w:lang w:val="en-GB"/>
        </w:rPr>
        <w:t xml:space="preserve"> contain Conflict Minerals.  </w:t>
      </w:r>
      <w:r w:rsidR="002D60B8" w:rsidRPr="002D60B8">
        <w:rPr>
          <w:rFonts w:ascii="Times New Roman" w:eastAsia="Times New Roman" w:hAnsi="Times New Roman" w:cs="Times New Roman"/>
          <w:lang w:bidi="en-US"/>
        </w:rPr>
        <w:t xml:space="preserve"> </w:t>
      </w:r>
      <w:r w:rsidR="002D60B8" w:rsidRPr="002D60B8">
        <w:rPr>
          <w:rFonts w:ascii="Times New Roman" w:hAnsi="Times New Roman" w:cs="Times New Roman"/>
          <w:sz w:val="20"/>
          <w:szCs w:val="20"/>
          <w:lang w:val="en-GB" w:bidi="en-US"/>
        </w:rPr>
        <w:t>Additionally, IDEX</w:t>
      </w:r>
      <w:r w:rsidR="00CC7945">
        <w:rPr>
          <w:rFonts w:ascii="Times New Roman" w:hAnsi="Times New Roman" w:cs="Times New Roman"/>
          <w:sz w:val="20"/>
          <w:szCs w:val="20"/>
          <w:lang w:val="en-GB" w:bidi="en-US"/>
        </w:rPr>
        <w:t xml:space="preserve"> takes</w:t>
      </w:r>
      <w:r w:rsidR="002D60B8" w:rsidRPr="002D60B8">
        <w:rPr>
          <w:rFonts w:ascii="Times New Roman" w:hAnsi="Times New Roman" w:cs="Times New Roman"/>
          <w:sz w:val="20"/>
          <w:szCs w:val="20"/>
          <w:lang w:val="en-GB" w:bidi="en-US"/>
        </w:rPr>
        <w:t xml:space="preserve"> its responsibility to comply with U.S. economic sanctions regulations seriously and expects its suppliers to avoid doing business with a smelter or refiner associa</w:t>
      </w:r>
      <w:r w:rsidR="00CC7945">
        <w:rPr>
          <w:rFonts w:ascii="Times New Roman" w:hAnsi="Times New Roman" w:cs="Times New Roman"/>
          <w:sz w:val="20"/>
          <w:szCs w:val="20"/>
          <w:lang w:val="en-GB" w:bidi="en-US"/>
        </w:rPr>
        <w:t xml:space="preserve">ted with U.S. economic sanctioned entities. </w:t>
      </w:r>
    </w:p>
    <w:p w14:paraId="27AFF249" w14:textId="77777777" w:rsidR="009326B8" w:rsidRPr="009326B8" w:rsidRDefault="009326B8" w:rsidP="009326B8">
      <w:pPr>
        <w:spacing w:after="240" w:line="240" w:lineRule="atLeast"/>
        <w:jc w:val="both"/>
        <w:rPr>
          <w:rFonts w:ascii="Times New Roman" w:hAnsi="Times New Roman" w:cs="Times New Roman"/>
          <w:sz w:val="20"/>
          <w:szCs w:val="20"/>
          <w:lang w:val="en-GB"/>
        </w:rPr>
      </w:pPr>
      <w:r w:rsidRPr="009326B8">
        <w:rPr>
          <w:rFonts w:ascii="Times New Roman" w:hAnsi="Times New Roman" w:cs="Times New Roman"/>
          <w:sz w:val="20"/>
          <w:szCs w:val="20"/>
          <w:lang w:val="en-GB"/>
        </w:rPr>
        <w:t xml:space="preserve">In support of its Conflict Minerals commitment, </w:t>
      </w:r>
      <w:r>
        <w:rPr>
          <w:rFonts w:ascii="Times New Roman" w:hAnsi="Times New Roman" w:cs="Times New Roman"/>
          <w:sz w:val="20"/>
          <w:szCs w:val="20"/>
          <w:lang w:val="en-GB"/>
        </w:rPr>
        <w:t>IDEX</w:t>
      </w:r>
      <w:r w:rsidRPr="009326B8">
        <w:rPr>
          <w:rFonts w:ascii="Times New Roman" w:hAnsi="Times New Roman" w:cs="Times New Roman"/>
          <w:sz w:val="20"/>
          <w:szCs w:val="20"/>
          <w:lang w:val="en-GB"/>
        </w:rPr>
        <w:t xml:space="preserve"> expects that suppliers to its </w:t>
      </w:r>
      <w:r>
        <w:rPr>
          <w:rFonts w:ascii="Times New Roman" w:hAnsi="Times New Roman" w:cs="Times New Roman"/>
          <w:sz w:val="20"/>
          <w:szCs w:val="20"/>
          <w:lang w:val="en-GB"/>
        </w:rPr>
        <w:t>IDEX</w:t>
      </w:r>
      <w:r w:rsidRPr="009326B8">
        <w:rPr>
          <w:rFonts w:ascii="Times New Roman" w:hAnsi="Times New Roman" w:cs="Times New Roman"/>
          <w:sz w:val="20"/>
          <w:szCs w:val="20"/>
          <w:lang w:val="en-GB"/>
        </w:rPr>
        <w:t xml:space="preserve"> manufacturing subsidiaries will:</w:t>
      </w:r>
    </w:p>
    <w:p w14:paraId="23EEA3E0" w14:textId="69328650" w:rsidR="009326B8" w:rsidRPr="005C68D4" w:rsidRDefault="009326B8" w:rsidP="009326B8">
      <w:pPr>
        <w:numPr>
          <w:ilvl w:val="0"/>
          <w:numId w:val="1"/>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color w:val="000000"/>
          <w:sz w:val="20"/>
          <w:szCs w:val="20"/>
        </w:rPr>
      </w:pPr>
      <w:r w:rsidRPr="009326B8">
        <w:rPr>
          <w:rFonts w:ascii="Times New Roman" w:hAnsi="Times New Roman" w:cs="Times New Roman"/>
          <w:sz w:val="20"/>
          <w:szCs w:val="20"/>
          <w:lang w:val="en-GB"/>
        </w:rPr>
        <w:t>Establish a supplier Conflict Minerals policy</w:t>
      </w:r>
      <w:r w:rsidRPr="005C68D4">
        <w:rPr>
          <w:rFonts w:ascii="Times New Roman" w:hAnsi="Times New Roman" w:cs="Times New Roman"/>
          <w:sz w:val="20"/>
          <w:szCs w:val="20"/>
          <w:lang w:val="en-GB"/>
        </w:rPr>
        <w:t xml:space="preserve">, </w:t>
      </w:r>
      <w:r w:rsidRPr="005C68D4">
        <w:rPr>
          <w:rFonts w:ascii="Times New Roman" w:hAnsi="Times New Roman" w:cs="Times New Roman"/>
          <w:color w:val="000000"/>
          <w:sz w:val="20"/>
          <w:szCs w:val="20"/>
        </w:rPr>
        <w:t xml:space="preserve">implement management systems to support compliance with their policy, and </w:t>
      </w:r>
      <w:r w:rsidR="004E4E88">
        <w:rPr>
          <w:rFonts w:ascii="Times New Roman" w:hAnsi="Times New Roman" w:cs="Times New Roman"/>
          <w:color w:val="000000"/>
          <w:sz w:val="20"/>
          <w:szCs w:val="20"/>
        </w:rPr>
        <w:t>encourage</w:t>
      </w:r>
      <w:r w:rsidR="004E4E88" w:rsidRPr="005C68D4">
        <w:rPr>
          <w:rFonts w:ascii="Times New Roman" w:hAnsi="Times New Roman" w:cs="Times New Roman"/>
          <w:color w:val="000000"/>
          <w:sz w:val="20"/>
          <w:szCs w:val="20"/>
        </w:rPr>
        <w:t xml:space="preserve"> </w:t>
      </w:r>
      <w:r w:rsidRPr="005C68D4">
        <w:rPr>
          <w:rFonts w:ascii="Times New Roman" w:hAnsi="Times New Roman" w:cs="Times New Roman"/>
          <w:color w:val="000000"/>
          <w:sz w:val="20"/>
          <w:szCs w:val="20"/>
        </w:rPr>
        <w:t>their suppliers to take the same steps</w:t>
      </w:r>
      <w:r w:rsidRPr="005C68D4">
        <w:rPr>
          <w:rFonts w:ascii="Times New Roman" w:hAnsi="Times New Roman" w:cs="Times New Roman"/>
          <w:sz w:val="20"/>
          <w:szCs w:val="20"/>
          <w:lang w:val="en-GB"/>
        </w:rPr>
        <w:t>;</w:t>
      </w:r>
    </w:p>
    <w:p w14:paraId="15119B8C" w14:textId="77777777" w:rsidR="009326B8" w:rsidRPr="005C68D4" w:rsidRDefault="009326B8" w:rsidP="009326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720"/>
        <w:jc w:val="both"/>
        <w:rPr>
          <w:rFonts w:ascii="Times New Roman" w:hAnsi="Times New Roman" w:cs="Times New Roman"/>
          <w:color w:val="000000"/>
          <w:sz w:val="20"/>
          <w:szCs w:val="20"/>
        </w:rPr>
      </w:pPr>
    </w:p>
    <w:p w14:paraId="5F891529" w14:textId="5215737A" w:rsidR="009326B8" w:rsidRPr="005C68D4" w:rsidRDefault="004E4E88" w:rsidP="009326B8">
      <w:pPr>
        <w:numPr>
          <w:ilvl w:val="0"/>
          <w:numId w:val="1"/>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Exercise due diligence with relevant suppliers consistent with the OECD Due Diligence Guidance and encourage their suppliers to do likewise with their suppliers; </w:t>
      </w:r>
      <w:r>
        <w:rPr>
          <w:rFonts w:ascii="Times New Roman" w:hAnsi="Times New Roman" w:cs="Times New Roman"/>
          <w:color w:val="000000"/>
          <w:sz w:val="20"/>
          <w:szCs w:val="20"/>
        </w:rPr>
        <w:tab/>
      </w:r>
    </w:p>
    <w:p w14:paraId="28FDB4CA" w14:textId="77777777" w:rsidR="009326B8" w:rsidRPr="005C68D4" w:rsidRDefault="009326B8" w:rsidP="009326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720"/>
        <w:contextualSpacing/>
        <w:jc w:val="both"/>
        <w:rPr>
          <w:rFonts w:ascii="Times New Roman" w:hAnsi="Times New Roman" w:cs="Times New Roman"/>
          <w:color w:val="000000"/>
          <w:sz w:val="20"/>
          <w:szCs w:val="20"/>
        </w:rPr>
      </w:pPr>
    </w:p>
    <w:p w14:paraId="280D7CA1" w14:textId="71EC94EE" w:rsidR="009326B8" w:rsidRPr="005C68D4" w:rsidRDefault="009326B8" w:rsidP="009326B8">
      <w:pPr>
        <w:numPr>
          <w:ilvl w:val="0"/>
          <w:numId w:val="1"/>
        </w:numPr>
        <w:spacing w:after="240" w:line="240" w:lineRule="atLeast"/>
        <w:jc w:val="both"/>
        <w:rPr>
          <w:rFonts w:ascii="Times New Roman" w:hAnsi="Times New Roman" w:cs="Times New Roman"/>
          <w:sz w:val="20"/>
          <w:szCs w:val="20"/>
          <w:lang w:val="en-GB"/>
        </w:rPr>
      </w:pPr>
      <w:r w:rsidRPr="005C68D4">
        <w:rPr>
          <w:rFonts w:ascii="Times New Roman" w:hAnsi="Times New Roman" w:cs="Times New Roman"/>
          <w:sz w:val="20"/>
          <w:szCs w:val="20"/>
          <w:lang w:val="en-GB"/>
        </w:rPr>
        <w:t>Provide</w:t>
      </w:r>
      <w:r w:rsidR="00772B72">
        <w:rPr>
          <w:rFonts w:ascii="Times New Roman" w:hAnsi="Times New Roman" w:cs="Times New Roman"/>
          <w:sz w:val="20"/>
          <w:szCs w:val="20"/>
          <w:lang w:val="en-GB"/>
        </w:rPr>
        <w:t>, and expect their suppliers to cooperate in providing, due diligence information to confirm the 3TGs in our supply chain and their sources</w:t>
      </w:r>
      <w:r w:rsidRPr="005C68D4">
        <w:rPr>
          <w:rFonts w:ascii="Times New Roman" w:hAnsi="Times New Roman" w:cs="Times New Roman"/>
          <w:sz w:val="20"/>
          <w:szCs w:val="20"/>
          <w:lang w:val="en-GB"/>
        </w:rPr>
        <w:t>; and</w:t>
      </w:r>
    </w:p>
    <w:p w14:paraId="2872FEC3" w14:textId="1C1A71D0" w:rsidR="005C68D4" w:rsidRPr="005C68D4" w:rsidRDefault="009326B8" w:rsidP="00736E0D">
      <w:pPr>
        <w:numPr>
          <w:ilvl w:val="0"/>
          <w:numId w:val="1"/>
        </w:numPr>
        <w:spacing w:after="240" w:line="240" w:lineRule="atLeast"/>
        <w:jc w:val="both"/>
        <w:rPr>
          <w:rFonts w:ascii="Times New Roman" w:hAnsi="Times New Roman" w:cs="Times New Roman"/>
          <w:sz w:val="20"/>
          <w:szCs w:val="20"/>
          <w:lang w:val="en-GB"/>
        </w:rPr>
      </w:pPr>
      <w:r w:rsidRPr="005C68D4">
        <w:rPr>
          <w:rFonts w:ascii="Times New Roman" w:hAnsi="Times New Roman" w:cs="Times New Roman"/>
          <w:sz w:val="20"/>
          <w:szCs w:val="20"/>
          <w:lang w:val="en-GB"/>
        </w:rPr>
        <w:t xml:space="preserve">Upon request, permit auditing of their Conflict Minerals policies and </w:t>
      </w:r>
      <w:r w:rsidR="004E4E88">
        <w:rPr>
          <w:rFonts w:ascii="Times New Roman" w:hAnsi="Times New Roman" w:cs="Times New Roman"/>
          <w:sz w:val="20"/>
          <w:szCs w:val="20"/>
          <w:lang w:val="en-GB"/>
        </w:rPr>
        <w:t>due diligence measures</w:t>
      </w:r>
      <w:r w:rsidRPr="005C68D4">
        <w:rPr>
          <w:rFonts w:ascii="Times New Roman" w:hAnsi="Times New Roman" w:cs="Times New Roman"/>
          <w:sz w:val="20"/>
          <w:szCs w:val="20"/>
          <w:lang w:val="en-GB"/>
        </w:rPr>
        <w:t>.</w:t>
      </w:r>
    </w:p>
    <w:p w14:paraId="3CC26C71" w14:textId="77777777" w:rsidR="006C70BA" w:rsidRDefault="009326B8" w:rsidP="005C68D4">
      <w:pPr>
        <w:rPr>
          <w:rFonts w:ascii="Times New Roman" w:hAnsi="Times New Roman" w:cs="Times New Roman"/>
          <w:sz w:val="20"/>
          <w:szCs w:val="20"/>
          <w:lang w:val="en-GB"/>
        </w:rPr>
      </w:pPr>
      <w:r w:rsidRPr="006C70BA">
        <w:rPr>
          <w:rFonts w:ascii="Times New Roman" w:hAnsi="Times New Roman" w:cs="Times New Roman"/>
          <w:sz w:val="20"/>
          <w:szCs w:val="20"/>
          <w:lang w:val="en-GB"/>
        </w:rPr>
        <w:t>If you</w:t>
      </w:r>
      <w:r w:rsidR="00736E0D" w:rsidRPr="006C70BA">
        <w:rPr>
          <w:rFonts w:ascii="Times New Roman" w:hAnsi="Times New Roman" w:cs="Times New Roman"/>
          <w:sz w:val="20"/>
          <w:szCs w:val="20"/>
          <w:lang w:val="en-GB"/>
        </w:rPr>
        <w:t xml:space="preserve"> </w:t>
      </w:r>
      <w:r w:rsidRPr="006C70BA">
        <w:rPr>
          <w:rFonts w:ascii="Times New Roman" w:hAnsi="Times New Roman" w:cs="Times New Roman"/>
          <w:sz w:val="20"/>
          <w:szCs w:val="20"/>
          <w:lang w:val="en-GB"/>
        </w:rPr>
        <w:t xml:space="preserve">have any questions or would like additional information about this policy, please email: </w:t>
      </w:r>
    </w:p>
    <w:p w14:paraId="5EA4433F" w14:textId="0EBE7CB2" w:rsidR="009326B8" w:rsidRPr="006C70BA" w:rsidRDefault="002D60B8" w:rsidP="005C68D4">
      <w:pPr>
        <w:rPr>
          <w:rFonts w:ascii="Times New Roman" w:hAnsi="Times New Roman" w:cs="Times New Roman"/>
          <w:sz w:val="20"/>
          <w:szCs w:val="20"/>
          <w:lang w:val="en-GB"/>
        </w:rPr>
      </w:pPr>
      <w:hyperlink r:id="rId9" w:history="1">
        <w:r w:rsidR="00736E0D" w:rsidRPr="006C70BA">
          <w:rPr>
            <w:rStyle w:val="Hyperlink"/>
            <w:rFonts w:ascii="Times New Roman" w:hAnsi="Times New Roman" w:cs="Times New Roman"/>
            <w:sz w:val="20"/>
            <w:szCs w:val="20"/>
            <w:lang w:val="en-GB"/>
          </w:rPr>
          <w:t>IDEXConflictMinerals@idexcorp.com</w:t>
        </w:r>
      </w:hyperlink>
      <w:r w:rsidR="00736E0D" w:rsidRPr="006C70BA">
        <w:rPr>
          <w:rFonts w:ascii="Times New Roman" w:hAnsi="Times New Roman" w:cs="Times New Roman"/>
          <w:sz w:val="20"/>
          <w:szCs w:val="20"/>
          <w:lang w:val="en-GB"/>
        </w:rPr>
        <w:t xml:space="preserve"> </w:t>
      </w:r>
    </w:p>
    <w:sectPr w:rsidR="009326B8" w:rsidRPr="006C70BA" w:rsidSect="001D3F91">
      <w:pgSz w:w="12240" w:h="15840" w:code="1"/>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725D4" w14:textId="77777777" w:rsidR="00D55DB3" w:rsidRDefault="00D55DB3" w:rsidP="009326B8">
      <w:pPr>
        <w:spacing w:after="0" w:line="240" w:lineRule="auto"/>
      </w:pPr>
      <w:r>
        <w:separator/>
      </w:r>
    </w:p>
  </w:endnote>
  <w:endnote w:type="continuationSeparator" w:id="0">
    <w:p w14:paraId="6ADA6F34" w14:textId="77777777" w:rsidR="00D55DB3" w:rsidRDefault="00D55DB3" w:rsidP="00932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0DC0D" w14:textId="77777777" w:rsidR="00D55DB3" w:rsidRDefault="00D55DB3" w:rsidP="009326B8">
      <w:pPr>
        <w:spacing w:after="0" w:line="240" w:lineRule="auto"/>
      </w:pPr>
      <w:r>
        <w:separator/>
      </w:r>
    </w:p>
  </w:footnote>
  <w:footnote w:type="continuationSeparator" w:id="0">
    <w:p w14:paraId="1D3DB428" w14:textId="77777777" w:rsidR="00D55DB3" w:rsidRDefault="00D55DB3" w:rsidP="009326B8">
      <w:pPr>
        <w:spacing w:after="0" w:line="240" w:lineRule="auto"/>
      </w:pPr>
      <w:r>
        <w:continuationSeparator/>
      </w:r>
    </w:p>
  </w:footnote>
  <w:footnote w:id="1">
    <w:p w14:paraId="5EAF7020" w14:textId="40440E5D" w:rsidR="009326B8" w:rsidRPr="00C258F6" w:rsidRDefault="001D3F91" w:rsidP="009326B8">
      <w:pPr>
        <w:pStyle w:val="FootnoteText"/>
        <w:rPr>
          <w:sz w:val="18"/>
          <w:szCs w:val="18"/>
        </w:rPr>
      </w:pPr>
      <w:r>
        <w:rPr>
          <w:rStyle w:val="FootnoteReference"/>
          <w:sz w:val="18"/>
          <w:szCs w:val="18"/>
        </w:rPr>
        <w:t>1</w:t>
      </w:r>
      <w:r w:rsidRPr="00C258F6">
        <w:rPr>
          <w:sz w:val="18"/>
          <w:szCs w:val="18"/>
        </w:rPr>
        <w:t xml:space="preserve"> </w:t>
      </w:r>
      <w:r w:rsidR="009326B8" w:rsidRPr="00C258F6">
        <w:rPr>
          <w:sz w:val="18"/>
          <w:szCs w:val="18"/>
        </w:rPr>
        <w:t>The adjoining countries to the DRC which are of concern include Angola, Burundi, Central African Republic, The Republic of Congo, Rwanda, South Sudan, Tanzania, Uganda and Zambia.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AC145B"/>
    <w:multiLevelType w:val="hybridMultilevel"/>
    <w:tmpl w:val="50623380"/>
    <w:lvl w:ilvl="0" w:tplc="F4C27A24">
      <w:start w:val="12"/>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6B8"/>
    <w:rsid w:val="00073464"/>
    <w:rsid w:val="000B1704"/>
    <w:rsid w:val="001D3F91"/>
    <w:rsid w:val="002D60B8"/>
    <w:rsid w:val="004E4E88"/>
    <w:rsid w:val="00511E68"/>
    <w:rsid w:val="005C68D4"/>
    <w:rsid w:val="006C70BA"/>
    <w:rsid w:val="00736E0D"/>
    <w:rsid w:val="00772B72"/>
    <w:rsid w:val="007D0FB7"/>
    <w:rsid w:val="00855975"/>
    <w:rsid w:val="0085747B"/>
    <w:rsid w:val="008957D8"/>
    <w:rsid w:val="009326B8"/>
    <w:rsid w:val="00A3424A"/>
    <w:rsid w:val="00A625C0"/>
    <w:rsid w:val="00BA582E"/>
    <w:rsid w:val="00CC7945"/>
    <w:rsid w:val="00D4549B"/>
    <w:rsid w:val="00D55DB3"/>
    <w:rsid w:val="00D577DA"/>
    <w:rsid w:val="00DD0477"/>
    <w:rsid w:val="00EE1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0B8E7"/>
  <w15:docId w15:val="{DCDAF6F2-09D6-43B2-8261-A058E0958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26B8"/>
    <w:rPr>
      <w:color w:val="0000FF"/>
      <w:u w:val="single"/>
    </w:rPr>
  </w:style>
  <w:style w:type="paragraph" w:styleId="FootnoteText">
    <w:name w:val="footnote text"/>
    <w:basedOn w:val="Normal"/>
    <w:link w:val="FootnoteTextChar"/>
    <w:uiPriority w:val="99"/>
    <w:semiHidden/>
    <w:unhideWhenUsed/>
    <w:rsid w:val="009326B8"/>
    <w:pPr>
      <w:spacing w:after="0" w:line="240" w:lineRule="auto"/>
    </w:pPr>
    <w:rPr>
      <w:rFonts w:ascii="Times New Roman" w:eastAsia="MS PGothic" w:hAnsi="Times New Roman" w:cs="Times New Roman"/>
      <w:sz w:val="20"/>
      <w:szCs w:val="20"/>
      <w:lang w:eastAsia="ja-JP"/>
    </w:rPr>
  </w:style>
  <w:style w:type="character" w:customStyle="1" w:styleId="FootnoteTextChar">
    <w:name w:val="Footnote Text Char"/>
    <w:basedOn w:val="DefaultParagraphFont"/>
    <w:link w:val="FootnoteText"/>
    <w:uiPriority w:val="99"/>
    <w:semiHidden/>
    <w:rsid w:val="009326B8"/>
    <w:rPr>
      <w:rFonts w:ascii="Times New Roman" w:eastAsia="MS PGothic" w:hAnsi="Times New Roman" w:cs="Times New Roman"/>
      <w:sz w:val="20"/>
      <w:szCs w:val="20"/>
      <w:lang w:eastAsia="ja-JP"/>
    </w:rPr>
  </w:style>
  <w:style w:type="character" w:styleId="FootnoteReference">
    <w:name w:val="footnote reference"/>
    <w:basedOn w:val="DefaultParagraphFont"/>
    <w:uiPriority w:val="99"/>
    <w:semiHidden/>
    <w:unhideWhenUsed/>
    <w:rsid w:val="009326B8"/>
    <w:rPr>
      <w:vertAlign w:val="superscript"/>
    </w:rPr>
  </w:style>
  <w:style w:type="paragraph" w:styleId="BalloonText">
    <w:name w:val="Balloon Text"/>
    <w:basedOn w:val="Normal"/>
    <w:link w:val="BalloonTextChar"/>
    <w:uiPriority w:val="99"/>
    <w:semiHidden/>
    <w:unhideWhenUsed/>
    <w:rsid w:val="00DD04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477"/>
    <w:rPr>
      <w:rFonts w:ascii="Tahoma" w:hAnsi="Tahoma" w:cs="Tahoma"/>
      <w:sz w:val="16"/>
      <w:szCs w:val="16"/>
    </w:rPr>
  </w:style>
  <w:style w:type="character" w:styleId="CommentReference">
    <w:name w:val="annotation reference"/>
    <w:basedOn w:val="DefaultParagraphFont"/>
    <w:uiPriority w:val="99"/>
    <w:semiHidden/>
    <w:unhideWhenUsed/>
    <w:rsid w:val="004E4E88"/>
    <w:rPr>
      <w:sz w:val="16"/>
      <w:szCs w:val="16"/>
    </w:rPr>
  </w:style>
  <w:style w:type="paragraph" w:styleId="CommentText">
    <w:name w:val="annotation text"/>
    <w:basedOn w:val="Normal"/>
    <w:link w:val="CommentTextChar"/>
    <w:uiPriority w:val="99"/>
    <w:semiHidden/>
    <w:unhideWhenUsed/>
    <w:rsid w:val="004E4E88"/>
    <w:pPr>
      <w:spacing w:line="240" w:lineRule="auto"/>
    </w:pPr>
    <w:rPr>
      <w:sz w:val="20"/>
      <w:szCs w:val="20"/>
    </w:rPr>
  </w:style>
  <w:style w:type="character" w:customStyle="1" w:styleId="CommentTextChar">
    <w:name w:val="Comment Text Char"/>
    <w:basedOn w:val="DefaultParagraphFont"/>
    <w:link w:val="CommentText"/>
    <w:uiPriority w:val="99"/>
    <w:semiHidden/>
    <w:rsid w:val="004E4E88"/>
    <w:rPr>
      <w:sz w:val="20"/>
      <w:szCs w:val="20"/>
    </w:rPr>
  </w:style>
  <w:style w:type="paragraph" w:styleId="CommentSubject">
    <w:name w:val="annotation subject"/>
    <w:basedOn w:val="CommentText"/>
    <w:next w:val="CommentText"/>
    <w:link w:val="CommentSubjectChar"/>
    <w:uiPriority w:val="99"/>
    <w:semiHidden/>
    <w:unhideWhenUsed/>
    <w:rsid w:val="004E4E88"/>
    <w:rPr>
      <w:b/>
      <w:bCs/>
    </w:rPr>
  </w:style>
  <w:style w:type="character" w:customStyle="1" w:styleId="CommentSubjectChar">
    <w:name w:val="Comment Subject Char"/>
    <w:basedOn w:val="CommentTextChar"/>
    <w:link w:val="CommentSubject"/>
    <w:uiPriority w:val="99"/>
    <w:semiHidden/>
    <w:rsid w:val="004E4E88"/>
    <w:rPr>
      <w:b/>
      <w:bCs/>
      <w:sz w:val="20"/>
      <w:szCs w:val="20"/>
    </w:rPr>
  </w:style>
  <w:style w:type="paragraph" w:styleId="ListParagraph">
    <w:name w:val="List Paragraph"/>
    <w:basedOn w:val="Normal"/>
    <w:uiPriority w:val="34"/>
    <w:qFormat/>
    <w:rsid w:val="00772B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DEXConflictMinerals@idexcor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6B8C0-D31E-45F8-AA8C-8EFF8A5C8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mschaffer003</dc:creator>
  <cp:lastModifiedBy>McGowan, Sean</cp:lastModifiedBy>
  <cp:revision>3</cp:revision>
  <dcterms:created xsi:type="dcterms:W3CDTF">2019-01-04T20:13:00Z</dcterms:created>
  <dcterms:modified xsi:type="dcterms:W3CDTF">2019-01-04T20:14:00Z</dcterms:modified>
</cp:coreProperties>
</file>